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FC52" w14:textId="77777777" w:rsidR="00854199" w:rsidRPr="00854199" w:rsidRDefault="00854199" w:rsidP="00854199">
      <w:pPr>
        <w:shd w:val="clear" w:color="auto" w:fill="FFFFFF"/>
        <w:jc w:val="both"/>
        <w:rPr>
          <w:rFonts w:ascii="Aptos" w:eastAsia="Times New Roman" w:hAnsi="Aptos" w:cs="Times New Roman"/>
          <w:color w:val="242424"/>
          <w:sz w:val="22"/>
          <w:szCs w:val="22"/>
          <w:lang w:val="en-US" w:eastAsia="fr-FR"/>
        </w:rPr>
      </w:pPr>
      <w:r w:rsidRPr="00854199">
        <w:rPr>
          <w:rFonts w:ascii="Aptos" w:eastAsia="Times New Roman" w:hAnsi="Aptos" w:cs="Times New Roman"/>
          <w:color w:val="242424"/>
          <w:sz w:val="22"/>
          <w:szCs w:val="22"/>
          <w:u w:val="single"/>
          <w:lang w:val="en-US" w:eastAsia="fr-FR"/>
        </w:rPr>
        <w:t>BILLING:</w:t>
      </w:r>
      <w:r w:rsidRPr="00854199">
        <w:rPr>
          <w:rFonts w:ascii="Aptos" w:eastAsia="Times New Roman" w:hAnsi="Aptos" w:cs="Times New Roman"/>
          <w:color w:val="242424"/>
          <w:sz w:val="22"/>
          <w:szCs w:val="22"/>
          <w:lang w:val="en-US" w:eastAsia="fr-FR"/>
        </w:rPr>
        <w:t> </w:t>
      </w:r>
    </w:p>
    <w:p w14:paraId="0F35B5B3" w14:textId="77777777" w:rsidR="00854199" w:rsidRPr="00854199" w:rsidRDefault="00854199" w:rsidP="00854199">
      <w:pPr>
        <w:shd w:val="clear" w:color="auto" w:fill="FFFFFF"/>
        <w:jc w:val="both"/>
        <w:rPr>
          <w:rFonts w:ascii="Aptos" w:eastAsia="Times New Roman" w:hAnsi="Aptos" w:cs="Times New Roman"/>
          <w:b/>
          <w:bCs/>
          <w:color w:val="242424"/>
          <w:sz w:val="22"/>
          <w:szCs w:val="22"/>
          <w:lang w:val="en-US" w:eastAsia="fr-FR"/>
        </w:rPr>
      </w:pPr>
      <w:r w:rsidRPr="00854199">
        <w:rPr>
          <w:rFonts w:ascii="Aptos" w:eastAsia="Times New Roman" w:hAnsi="Aptos" w:cs="Times New Roman"/>
          <w:b/>
          <w:bCs/>
          <w:color w:val="242424"/>
          <w:sz w:val="22"/>
          <w:szCs w:val="22"/>
          <w:lang w:val="en-US" w:eastAsia="fr-FR"/>
        </w:rPr>
        <w:t>The Bad Plus Chris Potter and Craig Taborn</w:t>
      </w:r>
    </w:p>
    <w:p w14:paraId="40DA7B13" w14:textId="77777777" w:rsidR="00854199" w:rsidRPr="00854199" w:rsidRDefault="00854199" w:rsidP="00854199">
      <w:pPr>
        <w:shd w:val="clear" w:color="auto" w:fill="FFFFFF"/>
        <w:jc w:val="both"/>
        <w:rPr>
          <w:rFonts w:ascii="Aptos" w:eastAsia="Times New Roman" w:hAnsi="Aptos" w:cs="Times New Roman"/>
          <w:b/>
          <w:bCs/>
          <w:color w:val="242424"/>
          <w:sz w:val="22"/>
          <w:szCs w:val="22"/>
          <w:lang w:val="en-US" w:eastAsia="fr-FR"/>
        </w:rPr>
      </w:pPr>
    </w:p>
    <w:p w14:paraId="3F7D8066" w14:textId="67738E02" w:rsidR="00854199" w:rsidRDefault="00854199" w:rsidP="00854199">
      <w:pPr>
        <w:shd w:val="clear" w:color="auto" w:fill="FFFFFF"/>
        <w:jc w:val="both"/>
        <w:rPr>
          <w:rFonts w:ascii="Aptos" w:eastAsia="Times New Roman" w:hAnsi="Aptos" w:cs="Times New Roman"/>
          <w:color w:val="242424"/>
          <w:sz w:val="22"/>
          <w:szCs w:val="22"/>
          <w:lang w:val="en-US" w:eastAsia="fr-FR"/>
        </w:rPr>
      </w:pPr>
      <w:r w:rsidRPr="00854199">
        <w:rPr>
          <w:rFonts w:ascii="Aptos" w:eastAsia="Times New Roman" w:hAnsi="Aptos" w:cs="Times New Roman"/>
          <w:color w:val="242424"/>
          <w:sz w:val="22"/>
          <w:szCs w:val="22"/>
          <w:u w:val="single"/>
          <w:lang w:val="en-US" w:eastAsia="fr-FR"/>
        </w:rPr>
        <w:t>LINE-UP:</w:t>
      </w:r>
      <w:r>
        <w:rPr>
          <w:rFonts w:ascii="Aptos" w:eastAsia="Times New Roman" w:hAnsi="Aptos" w:cs="Times New Roman"/>
          <w:color w:val="242424"/>
          <w:sz w:val="22"/>
          <w:szCs w:val="22"/>
          <w:lang w:val="en-US" w:eastAsia="fr-FR"/>
        </w:rPr>
        <w:t xml:space="preserve"> </w:t>
      </w:r>
    </w:p>
    <w:p w14:paraId="2CA2D9A5" w14:textId="77777777" w:rsidR="00854199" w:rsidRPr="00854199" w:rsidRDefault="00854199" w:rsidP="00854199">
      <w:pPr>
        <w:shd w:val="clear" w:color="auto" w:fill="FFFFFF"/>
        <w:jc w:val="both"/>
        <w:rPr>
          <w:rFonts w:ascii="Aptos" w:eastAsia="Times New Roman" w:hAnsi="Aptos" w:cs="Times New Roman"/>
          <w:color w:val="242424"/>
          <w:sz w:val="22"/>
          <w:szCs w:val="22"/>
          <w:lang w:eastAsia="fr-FR"/>
        </w:rPr>
      </w:pPr>
      <w:r w:rsidRPr="00854199">
        <w:rPr>
          <w:rFonts w:ascii="Aptos" w:eastAsia="Times New Roman" w:hAnsi="Aptos" w:cs="Times New Roman"/>
          <w:color w:val="242424"/>
          <w:sz w:val="22"/>
          <w:szCs w:val="22"/>
          <w:lang w:eastAsia="fr-FR"/>
        </w:rPr>
        <w:t>Reid Anderson - bass</w:t>
      </w:r>
    </w:p>
    <w:p w14:paraId="7E846AE0" w14:textId="77777777" w:rsidR="00854199" w:rsidRPr="00854199" w:rsidRDefault="00854199" w:rsidP="00854199">
      <w:pPr>
        <w:shd w:val="clear" w:color="auto" w:fill="FFFFFF"/>
        <w:jc w:val="both"/>
        <w:rPr>
          <w:rFonts w:ascii="Aptos" w:eastAsia="Times New Roman" w:hAnsi="Aptos" w:cs="Times New Roman"/>
          <w:color w:val="242424"/>
          <w:sz w:val="22"/>
          <w:szCs w:val="22"/>
          <w:lang w:eastAsia="fr-FR"/>
        </w:rPr>
      </w:pPr>
      <w:r w:rsidRPr="00854199">
        <w:rPr>
          <w:rFonts w:ascii="Aptos" w:eastAsia="Times New Roman" w:hAnsi="Aptos" w:cs="Times New Roman"/>
          <w:color w:val="242424"/>
          <w:sz w:val="22"/>
          <w:szCs w:val="22"/>
          <w:lang w:eastAsia="fr-FR"/>
        </w:rPr>
        <w:t>Dave King - drums</w:t>
      </w:r>
    </w:p>
    <w:p w14:paraId="39050EB5" w14:textId="02B8A4BF" w:rsidR="00854199" w:rsidRPr="00854199" w:rsidRDefault="00854199" w:rsidP="00854199">
      <w:pPr>
        <w:shd w:val="clear" w:color="auto" w:fill="FFFFFF"/>
        <w:jc w:val="both"/>
        <w:rPr>
          <w:rFonts w:ascii="Aptos" w:eastAsia="Times New Roman" w:hAnsi="Aptos" w:cs="Times New Roman"/>
          <w:color w:val="242424"/>
          <w:sz w:val="22"/>
          <w:szCs w:val="22"/>
          <w:lang w:eastAsia="fr-FR"/>
        </w:rPr>
      </w:pPr>
      <w:r w:rsidRPr="00854199">
        <w:rPr>
          <w:rFonts w:ascii="Aptos" w:eastAsia="Times New Roman" w:hAnsi="Aptos" w:cs="Times New Roman"/>
          <w:color w:val="242424"/>
          <w:sz w:val="22"/>
          <w:szCs w:val="22"/>
          <w:lang w:eastAsia="fr-FR"/>
        </w:rPr>
        <w:t xml:space="preserve">Chris Potter </w:t>
      </w:r>
      <w:r w:rsidR="005E62BD">
        <w:rPr>
          <w:rFonts w:ascii="Aptos" w:eastAsia="Times New Roman" w:hAnsi="Aptos" w:cs="Times New Roman"/>
          <w:color w:val="242424"/>
          <w:sz w:val="22"/>
          <w:szCs w:val="22"/>
          <w:lang w:eastAsia="fr-FR"/>
        </w:rPr>
        <w:t>–</w:t>
      </w:r>
      <w:r w:rsidRPr="00854199">
        <w:rPr>
          <w:rFonts w:ascii="Aptos" w:eastAsia="Times New Roman" w:hAnsi="Aptos" w:cs="Times New Roman"/>
          <w:color w:val="242424"/>
          <w:sz w:val="22"/>
          <w:szCs w:val="22"/>
          <w:lang w:eastAsia="fr-FR"/>
        </w:rPr>
        <w:t xml:space="preserve"> </w:t>
      </w:r>
      <w:r w:rsidR="005E62BD">
        <w:rPr>
          <w:rFonts w:ascii="Aptos" w:eastAsia="Times New Roman" w:hAnsi="Aptos" w:cs="Times New Roman"/>
          <w:color w:val="242424"/>
          <w:sz w:val="22"/>
          <w:szCs w:val="22"/>
          <w:lang w:eastAsia="fr-FR"/>
        </w:rPr>
        <w:t xml:space="preserve">tenor </w:t>
      </w:r>
      <w:r w:rsidRPr="00854199">
        <w:rPr>
          <w:rFonts w:ascii="Aptos" w:eastAsia="Times New Roman" w:hAnsi="Aptos" w:cs="Times New Roman"/>
          <w:color w:val="242424"/>
          <w:sz w:val="22"/>
          <w:szCs w:val="22"/>
          <w:lang w:eastAsia="fr-FR"/>
        </w:rPr>
        <w:t>sax</w:t>
      </w:r>
    </w:p>
    <w:p w14:paraId="03298336" w14:textId="0D6D5AF3" w:rsidR="00854199" w:rsidRPr="005E62BD" w:rsidRDefault="00854199" w:rsidP="00854199">
      <w:pPr>
        <w:shd w:val="clear" w:color="auto" w:fill="FFFFFF"/>
        <w:jc w:val="both"/>
        <w:rPr>
          <w:rFonts w:ascii="Aptos" w:eastAsia="Times New Roman" w:hAnsi="Aptos" w:cs="Times New Roman"/>
          <w:color w:val="242424"/>
          <w:sz w:val="22"/>
          <w:szCs w:val="22"/>
          <w:lang w:eastAsia="fr-FR"/>
        </w:rPr>
      </w:pPr>
      <w:r w:rsidRPr="00854199">
        <w:rPr>
          <w:rFonts w:ascii="Aptos" w:eastAsia="Times New Roman" w:hAnsi="Aptos" w:cs="Times New Roman"/>
          <w:color w:val="242424"/>
          <w:sz w:val="22"/>
          <w:szCs w:val="22"/>
          <w:lang w:eastAsia="fr-FR"/>
        </w:rPr>
        <w:t>Craig Taborn - piano</w:t>
      </w:r>
    </w:p>
    <w:p w14:paraId="682B8313" w14:textId="77777777" w:rsidR="00854199" w:rsidRPr="00854199" w:rsidRDefault="00854199" w:rsidP="00854199">
      <w:pPr>
        <w:shd w:val="clear" w:color="auto" w:fill="FFFFFF"/>
        <w:jc w:val="both"/>
        <w:rPr>
          <w:rFonts w:ascii="Aptos" w:eastAsia="Times New Roman" w:hAnsi="Aptos" w:cs="Times New Roman"/>
          <w:color w:val="242424"/>
          <w:sz w:val="22"/>
          <w:szCs w:val="22"/>
          <w:lang w:val="en-US" w:eastAsia="fr-FR"/>
        </w:rPr>
      </w:pPr>
    </w:p>
    <w:p w14:paraId="1A885AB0" w14:textId="05435399" w:rsidR="00854199" w:rsidRPr="00854199" w:rsidRDefault="00854199" w:rsidP="00854199">
      <w:pPr>
        <w:shd w:val="clear" w:color="auto" w:fill="FFFFFF"/>
        <w:jc w:val="both"/>
        <w:rPr>
          <w:rFonts w:ascii="Aptos" w:eastAsia="Times New Roman" w:hAnsi="Aptos" w:cs="Times New Roman"/>
          <w:color w:val="242424"/>
          <w:sz w:val="22"/>
          <w:szCs w:val="22"/>
          <w:u w:val="single"/>
          <w:lang w:val="en-US" w:eastAsia="fr-FR"/>
        </w:rPr>
      </w:pPr>
      <w:r w:rsidRPr="00854199">
        <w:rPr>
          <w:rFonts w:ascii="Aptos" w:eastAsia="Times New Roman" w:hAnsi="Aptos" w:cs="Times New Roman"/>
          <w:color w:val="242424"/>
          <w:sz w:val="22"/>
          <w:szCs w:val="22"/>
          <w:u w:val="single"/>
          <w:lang w:val="en-US" w:eastAsia="fr-FR"/>
        </w:rPr>
        <w:t>BIOGRAPHY:</w:t>
      </w:r>
    </w:p>
    <w:p w14:paraId="1ADFCFAE" w14:textId="77777777" w:rsidR="00854199" w:rsidRPr="00854199" w:rsidRDefault="00854199" w:rsidP="00854199">
      <w:pPr>
        <w:shd w:val="clear" w:color="auto" w:fill="FFFFFF"/>
        <w:jc w:val="both"/>
        <w:rPr>
          <w:rFonts w:ascii="Aptos" w:eastAsia="Times New Roman" w:hAnsi="Aptos" w:cs="Times New Roman"/>
          <w:color w:val="242424"/>
          <w:sz w:val="22"/>
          <w:szCs w:val="22"/>
          <w:lang w:val="en-US" w:eastAsia="fr-FR"/>
        </w:rPr>
      </w:pPr>
    </w:p>
    <w:p w14:paraId="3984D597" w14:textId="6A839AC4" w:rsidR="0068447D" w:rsidRDefault="0068447D" w:rsidP="0068447D">
      <w:pPr>
        <w:shd w:val="clear" w:color="auto" w:fill="FFFFFF"/>
        <w:jc w:val="both"/>
        <w:rPr>
          <w:rFonts w:ascii="Aptos" w:eastAsia="Times New Roman" w:hAnsi="Aptos" w:cs="Times New Roman"/>
          <w:color w:val="000000"/>
          <w:sz w:val="22"/>
          <w:szCs w:val="22"/>
          <w:lang w:eastAsia="fr-FR"/>
        </w:rPr>
      </w:pPr>
      <w:r w:rsidRPr="0068447D">
        <w:rPr>
          <w:rFonts w:ascii="Aptos" w:eastAsia="Times New Roman" w:hAnsi="Aptos" w:cs="Times New Roman"/>
          <w:color w:val="000000"/>
          <w:sz w:val="22"/>
          <w:szCs w:val="22"/>
          <w:lang w:eastAsia="fr-FR"/>
        </w:rPr>
        <w:t>For </w:t>
      </w:r>
      <w:r w:rsidRPr="0068447D">
        <w:rPr>
          <w:rFonts w:ascii="Aptos" w:eastAsia="Times New Roman" w:hAnsi="Aptos" w:cs="Times New Roman"/>
          <w:b/>
          <w:bCs/>
          <w:color w:val="000000"/>
          <w:sz w:val="22"/>
          <w:szCs w:val="22"/>
          <w:lang w:eastAsia="fr-FR"/>
        </w:rPr>
        <w:t>Reid Anderson</w:t>
      </w:r>
      <w:r w:rsidRPr="0068447D">
        <w:rPr>
          <w:rFonts w:ascii="Aptos" w:eastAsia="Times New Roman" w:hAnsi="Aptos" w:cs="Times New Roman"/>
          <w:color w:val="000000"/>
          <w:sz w:val="22"/>
          <w:szCs w:val="22"/>
          <w:lang w:eastAsia="fr-FR"/>
        </w:rPr>
        <w:t>, </w:t>
      </w:r>
      <w:r w:rsidRPr="0068447D">
        <w:rPr>
          <w:rFonts w:ascii="Aptos" w:eastAsia="Times New Roman" w:hAnsi="Aptos" w:cs="Times New Roman"/>
          <w:b/>
          <w:bCs/>
          <w:color w:val="000000"/>
          <w:sz w:val="22"/>
          <w:szCs w:val="22"/>
          <w:lang w:eastAsia="fr-FR"/>
        </w:rPr>
        <w:t>Dave King</w:t>
      </w:r>
      <w:r w:rsidRPr="0068447D">
        <w:rPr>
          <w:rFonts w:ascii="Aptos" w:eastAsia="Times New Roman" w:hAnsi="Aptos" w:cs="Times New Roman"/>
          <w:color w:val="000000"/>
          <w:sz w:val="22"/>
          <w:szCs w:val="22"/>
          <w:lang w:eastAsia="fr-FR"/>
        </w:rPr>
        <w:t>, </w:t>
      </w:r>
      <w:r w:rsidRPr="0068447D">
        <w:rPr>
          <w:rFonts w:ascii="Aptos" w:eastAsia="Times New Roman" w:hAnsi="Aptos" w:cs="Times New Roman"/>
          <w:b/>
          <w:bCs/>
          <w:color w:val="000000"/>
          <w:sz w:val="22"/>
          <w:szCs w:val="22"/>
          <w:lang w:eastAsia="fr-FR"/>
        </w:rPr>
        <w:t>Chris Potter</w:t>
      </w:r>
      <w:r w:rsidRPr="0068447D">
        <w:rPr>
          <w:rFonts w:ascii="Aptos" w:eastAsia="Times New Roman" w:hAnsi="Aptos" w:cs="Times New Roman"/>
          <w:color w:val="000000"/>
          <w:sz w:val="22"/>
          <w:szCs w:val="22"/>
          <w:lang w:eastAsia="fr-FR"/>
        </w:rPr>
        <w:t>, and </w:t>
      </w:r>
      <w:r w:rsidRPr="0068447D">
        <w:rPr>
          <w:rFonts w:ascii="Aptos" w:eastAsia="Times New Roman" w:hAnsi="Aptos" w:cs="Times New Roman"/>
          <w:b/>
          <w:bCs/>
          <w:color w:val="000000"/>
          <w:sz w:val="22"/>
          <w:szCs w:val="22"/>
          <w:lang w:eastAsia="fr-FR"/>
        </w:rPr>
        <w:t>Craig Taborn</w:t>
      </w:r>
      <w:r w:rsidRPr="0068447D">
        <w:rPr>
          <w:rFonts w:ascii="Aptos" w:eastAsia="Times New Roman" w:hAnsi="Aptos" w:cs="Times New Roman"/>
          <w:color w:val="000000"/>
          <w:sz w:val="22"/>
          <w:szCs w:val="22"/>
          <w:lang w:eastAsia="fr-FR"/>
        </w:rPr>
        <w:t>, the music of </w:t>
      </w:r>
      <w:r w:rsidRPr="0068447D">
        <w:rPr>
          <w:rFonts w:ascii="Aptos" w:eastAsia="Times New Roman" w:hAnsi="Aptos" w:cs="Times New Roman"/>
          <w:b/>
          <w:bCs/>
          <w:color w:val="000000"/>
          <w:sz w:val="22"/>
          <w:szCs w:val="22"/>
          <w:lang w:eastAsia="fr-FR"/>
        </w:rPr>
        <w:t>Keith Jarrett’s American Quartet</w:t>
      </w:r>
      <w:r w:rsidRPr="0068447D">
        <w:rPr>
          <w:rFonts w:ascii="Aptos" w:eastAsia="Times New Roman" w:hAnsi="Aptos" w:cs="Times New Roman"/>
          <w:color w:val="000000"/>
          <w:sz w:val="22"/>
          <w:szCs w:val="22"/>
          <w:lang w:eastAsia="fr-FR"/>
        </w:rPr>
        <w:t> is more than just a source of inspiration—it is foundational. The quartet’s groundbreaking fusion of swing, freedom, and folk-like melodicism left an indelible mark not only on these four musicians but on an entire generation of jazz artists seeking to balance structure with spontaneity, groove with exploration</w:t>
      </w:r>
      <w:r>
        <w:rPr>
          <w:rFonts w:ascii="Aptos" w:eastAsia="Times New Roman" w:hAnsi="Aptos" w:cs="Times New Roman"/>
          <w:color w:val="000000"/>
          <w:sz w:val="22"/>
          <w:szCs w:val="22"/>
          <w:lang w:eastAsia="fr-FR"/>
        </w:rPr>
        <w:t>.</w:t>
      </w:r>
    </w:p>
    <w:p w14:paraId="1C3F83B3" w14:textId="77777777" w:rsidR="0068447D" w:rsidRPr="0068447D" w:rsidRDefault="0068447D" w:rsidP="0068447D">
      <w:pPr>
        <w:shd w:val="clear" w:color="auto" w:fill="FFFFFF"/>
        <w:jc w:val="both"/>
        <w:rPr>
          <w:rFonts w:ascii="Aptos" w:eastAsia="Times New Roman" w:hAnsi="Aptos" w:cs="Times New Roman"/>
          <w:color w:val="000000"/>
          <w:sz w:val="22"/>
          <w:szCs w:val="22"/>
          <w:lang w:eastAsia="fr-FR"/>
        </w:rPr>
      </w:pPr>
    </w:p>
    <w:p w14:paraId="3802CC09" w14:textId="77777777" w:rsidR="0068447D" w:rsidRPr="0068447D" w:rsidRDefault="0068447D" w:rsidP="0068447D">
      <w:pPr>
        <w:shd w:val="clear" w:color="auto" w:fill="FFFFFF"/>
        <w:spacing w:after="240"/>
        <w:jc w:val="both"/>
        <w:rPr>
          <w:rFonts w:ascii="Aptos" w:eastAsia="Times New Roman" w:hAnsi="Aptos" w:cs="Times New Roman"/>
          <w:color w:val="000000"/>
          <w:sz w:val="22"/>
          <w:szCs w:val="22"/>
          <w:lang w:eastAsia="fr-FR"/>
        </w:rPr>
      </w:pPr>
      <w:r w:rsidRPr="0068447D">
        <w:rPr>
          <w:rFonts w:ascii="Aptos" w:eastAsia="Times New Roman" w:hAnsi="Aptos" w:cs="Times New Roman"/>
          <w:color w:val="000000"/>
          <w:sz w:val="22"/>
          <w:szCs w:val="22"/>
          <w:lang w:eastAsia="fr-FR"/>
        </w:rPr>
        <w:t>With </w:t>
      </w:r>
      <w:r w:rsidRPr="0068447D">
        <w:rPr>
          <w:rFonts w:ascii="Aptos" w:eastAsia="Times New Roman" w:hAnsi="Aptos" w:cs="Times New Roman"/>
          <w:b/>
          <w:bCs/>
          <w:color w:val="000000"/>
          <w:sz w:val="22"/>
          <w:szCs w:val="22"/>
          <w:lang w:eastAsia="fr-FR"/>
        </w:rPr>
        <w:t>The Bad Plus Chris Potter and Craig Taborn</w:t>
      </w:r>
      <w:r w:rsidRPr="0068447D">
        <w:rPr>
          <w:rFonts w:ascii="Aptos" w:eastAsia="Times New Roman" w:hAnsi="Aptos" w:cs="Times New Roman"/>
          <w:color w:val="000000"/>
          <w:sz w:val="22"/>
          <w:szCs w:val="22"/>
          <w:lang w:eastAsia="fr-FR"/>
        </w:rPr>
        <w:t>, these acclaimed artists—each with their own storied careers in contemporary jazz—revisit this formative repertoire with deep reverence and fresh vision. Anderson and King, whose work with </w:t>
      </w:r>
      <w:r w:rsidRPr="0068447D">
        <w:rPr>
          <w:rFonts w:ascii="Aptos" w:eastAsia="Times New Roman" w:hAnsi="Aptos" w:cs="Times New Roman"/>
          <w:b/>
          <w:bCs/>
          <w:color w:val="000000"/>
          <w:sz w:val="22"/>
          <w:szCs w:val="22"/>
          <w:lang w:eastAsia="fr-FR"/>
        </w:rPr>
        <w:t>The Bad Plus</w:t>
      </w:r>
      <w:r w:rsidRPr="0068447D">
        <w:rPr>
          <w:rFonts w:ascii="Aptos" w:eastAsia="Times New Roman" w:hAnsi="Aptos" w:cs="Times New Roman"/>
          <w:color w:val="000000"/>
          <w:sz w:val="22"/>
          <w:szCs w:val="22"/>
          <w:lang w:eastAsia="fr-FR"/>
        </w:rPr>
        <w:t> helped redefine modern jazz, combine with Potter’s commanding tenor saxophone and Taborn’s pianistic brilliance to create an ensemble highly attuned to this music's melodic and rhythmic nuance. Together, they capture the raw, exploratory energy of the American Quartet while bringing their own distinct voices to the material.</w:t>
      </w:r>
    </w:p>
    <w:p w14:paraId="5E5A485D" w14:textId="77777777" w:rsidR="0068447D" w:rsidRPr="0068447D" w:rsidRDefault="0068447D" w:rsidP="0068447D">
      <w:pPr>
        <w:shd w:val="clear" w:color="auto" w:fill="FFFFFF"/>
        <w:jc w:val="both"/>
        <w:rPr>
          <w:rFonts w:ascii="Aptos" w:eastAsia="Times New Roman" w:hAnsi="Aptos" w:cs="Times New Roman"/>
          <w:color w:val="000000"/>
          <w:sz w:val="22"/>
          <w:szCs w:val="22"/>
          <w:lang w:eastAsia="fr-FR"/>
        </w:rPr>
      </w:pPr>
      <w:r w:rsidRPr="0068447D">
        <w:rPr>
          <w:rFonts w:ascii="Aptos" w:eastAsia="Times New Roman" w:hAnsi="Aptos" w:cs="Times New Roman"/>
          <w:color w:val="000000"/>
          <w:sz w:val="22"/>
          <w:szCs w:val="22"/>
          <w:lang w:eastAsia="fr-FR"/>
        </w:rPr>
        <w:t>This project is not simply a tribute—it is a </w:t>
      </w:r>
      <w:r w:rsidRPr="0068447D">
        <w:rPr>
          <w:rFonts w:ascii="Aptos" w:eastAsia="Times New Roman" w:hAnsi="Aptos" w:cs="Times New Roman"/>
          <w:b/>
          <w:bCs/>
          <w:color w:val="000000"/>
          <w:sz w:val="22"/>
          <w:szCs w:val="22"/>
          <w:lang w:eastAsia="fr-FR"/>
        </w:rPr>
        <w:t>continuation</w:t>
      </w:r>
      <w:r w:rsidRPr="0068447D">
        <w:rPr>
          <w:rFonts w:ascii="Aptos" w:eastAsia="Times New Roman" w:hAnsi="Aptos" w:cs="Times New Roman"/>
          <w:color w:val="000000"/>
          <w:sz w:val="22"/>
          <w:szCs w:val="22"/>
          <w:lang w:eastAsia="fr-FR"/>
        </w:rPr>
        <w:t> of the spirit that Jarrett, Dewey Redman, Charlie Haden, and Paul Motian embodied: a fearless commitment to musical dialogue, emotional depth, and boundary-pushing improvisation. By paying homage to this seminal music, </w:t>
      </w:r>
      <w:r w:rsidRPr="0068447D">
        <w:rPr>
          <w:rFonts w:ascii="Aptos" w:eastAsia="Times New Roman" w:hAnsi="Aptos" w:cs="Times New Roman"/>
          <w:b/>
          <w:bCs/>
          <w:color w:val="000000"/>
          <w:sz w:val="22"/>
          <w:szCs w:val="22"/>
          <w:lang w:eastAsia="fr-FR"/>
        </w:rPr>
        <w:t>The Bad Plus Chris Potter and Craig Taborn</w:t>
      </w:r>
      <w:r w:rsidRPr="0068447D">
        <w:rPr>
          <w:rFonts w:ascii="Aptos" w:eastAsia="Times New Roman" w:hAnsi="Aptos" w:cs="Times New Roman"/>
          <w:color w:val="000000"/>
          <w:sz w:val="22"/>
          <w:szCs w:val="22"/>
          <w:lang w:eastAsia="fr-FR"/>
        </w:rPr>
        <w:t> celebrates the American Quartet’s lasting influence while reaffirming its relevance for today’s jazz landscape.</w:t>
      </w:r>
    </w:p>
    <w:p w14:paraId="07D5D46D" w14:textId="77777777" w:rsidR="00854199" w:rsidRPr="00854199" w:rsidRDefault="00854199" w:rsidP="00854199">
      <w:pPr>
        <w:jc w:val="both"/>
        <w:rPr>
          <w:rFonts w:ascii="Times New Roman" w:eastAsia="Times New Roman" w:hAnsi="Times New Roman" w:cs="Times New Roman"/>
          <w:lang w:val="en-US" w:eastAsia="fr-FR"/>
        </w:rPr>
      </w:pPr>
    </w:p>
    <w:p w14:paraId="0B2E5C9B" w14:textId="77777777" w:rsidR="00310AAD" w:rsidRDefault="00310AAD"/>
    <w:sectPr w:rsidR="00310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99"/>
    <w:rsid w:val="00310AAD"/>
    <w:rsid w:val="005E62BD"/>
    <w:rsid w:val="0068447D"/>
    <w:rsid w:val="006D1B51"/>
    <w:rsid w:val="00854199"/>
    <w:rsid w:val="008C6AB2"/>
    <w:rsid w:val="00C927F0"/>
    <w:rsid w:val="00DE4695"/>
    <w:rsid w:val="00FD1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54F462"/>
  <w15:chartTrackingRefBased/>
  <w15:docId w15:val="{919A0B66-1AA6-5E43-BCF2-1124405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4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4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419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419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419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419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41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419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41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19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419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419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419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419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41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41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41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4199"/>
    <w:rPr>
      <w:rFonts w:eastAsiaTheme="majorEastAsia" w:cstheme="majorBidi"/>
      <w:color w:val="272727" w:themeColor="text1" w:themeTint="D8"/>
    </w:rPr>
  </w:style>
  <w:style w:type="paragraph" w:styleId="Titre">
    <w:name w:val="Title"/>
    <w:basedOn w:val="Normal"/>
    <w:next w:val="Normal"/>
    <w:link w:val="TitreCar"/>
    <w:uiPriority w:val="10"/>
    <w:qFormat/>
    <w:rsid w:val="008541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41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419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41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419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4199"/>
    <w:rPr>
      <w:i/>
      <w:iCs/>
      <w:color w:val="404040" w:themeColor="text1" w:themeTint="BF"/>
    </w:rPr>
  </w:style>
  <w:style w:type="paragraph" w:styleId="Paragraphedeliste">
    <w:name w:val="List Paragraph"/>
    <w:basedOn w:val="Normal"/>
    <w:uiPriority w:val="34"/>
    <w:qFormat/>
    <w:rsid w:val="00854199"/>
    <w:pPr>
      <w:ind w:left="720"/>
      <w:contextualSpacing/>
    </w:pPr>
  </w:style>
  <w:style w:type="character" w:styleId="Accentuationintense">
    <w:name w:val="Intense Emphasis"/>
    <w:basedOn w:val="Policepardfaut"/>
    <w:uiPriority w:val="21"/>
    <w:qFormat/>
    <w:rsid w:val="00854199"/>
    <w:rPr>
      <w:i/>
      <w:iCs/>
      <w:color w:val="2F5496" w:themeColor="accent1" w:themeShade="BF"/>
    </w:rPr>
  </w:style>
  <w:style w:type="paragraph" w:styleId="Citationintense">
    <w:name w:val="Intense Quote"/>
    <w:basedOn w:val="Normal"/>
    <w:next w:val="Normal"/>
    <w:link w:val="CitationintenseCar"/>
    <w:uiPriority w:val="30"/>
    <w:qFormat/>
    <w:rsid w:val="00854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4199"/>
    <w:rPr>
      <w:i/>
      <w:iCs/>
      <w:color w:val="2F5496" w:themeColor="accent1" w:themeShade="BF"/>
    </w:rPr>
  </w:style>
  <w:style w:type="character" w:styleId="Rfrenceintense">
    <w:name w:val="Intense Reference"/>
    <w:basedOn w:val="Policepardfaut"/>
    <w:uiPriority w:val="32"/>
    <w:qFormat/>
    <w:rsid w:val="00854199"/>
    <w:rPr>
      <w:b/>
      <w:bCs/>
      <w:smallCaps/>
      <w:color w:val="2F5496" w:themeColor="accent1" w:themeShade="BF"/>
      <w:spacing w:val="5"/>
    </w:rPr>
  </w:style>
  <w:style w:type="character" w:customStyle="1" w:styleId="apple-converted-space">
    <w:name w:val="apple-converted-space"/>
    <w:basedOn w:val="Policepardfaut"/>
    <w:rsid w:val="0085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3333">
      <w:bodyDiv w:val="1"/>
      <w:marLeft w:val="0"/>
      <w:marRight w:val="0"/>
      <w:marTop w:val="0"/>
      <w:marBottom w:val="0"/>
      <w:divBdr>
        <w:top w:val="none" w:sz="0" w:space="0" w:color="auto"/>
        <w:left w:val="none" w:sz="0" w:space="0" w:color="auto"/>
        <w:bottom w:val="none" w:sz="0" w:space="0" w:color="auto"/>
        <w:right w:val="none" w:sz="0" w:space="0" w:color="auto"/>
      </w:divBdr>
    </w:div>
    <w:div w:id="622077612">
      <w:bodyDiv w:val="1"/>
      <w:marLeft w:val="0"/>
      <w:marRight w:val="0"/>
      <w:marTop w:val="0"/>
      <w:marBottom w:val="0"/>
      <w:divBdr>
        <w:top w:val="none" w:sz="0" w:space="0" w:color="auto"/>
        <w:left w:val="none" w:sz="0" w:space="0" w:color="auto"/>
        <w:bottom w:val="none" w:sz="0" w:space="0" w:color="auto"/>
        <w:right w:val="none" w:sz="0" w:space="0" w:color="auto"/>
      </w:divBdr>
      <w:divsChild>
        <w:div w:id="923993480">
          <w:marLeft w:val="0"/>
          <w:marRight w:val="0"/>
          <w:marTop w:val="0"/>
          <w:marBottom w:val="0"/>
          <w:divBdr>
            <w:top w:val="none" w:sz="0" w:space="0" w:color="auto"/>
            <w:left w:val="none" w:sz="0" w:space="0" w:color="auto"/>
            <w:bottom w:val="none" w:sz="0" w:space="0" w:color="auto"/>
            <w:right w:val="none" w:sz="0" w:space="0" w:color="auto"/>
          </w:divBdr>
          <w:divsChild>
            <w:div w:id="1111163555">
              <w:marLeft w:val="0"/>
              <w:marRight w:val="0"/>
              <w:marTop w:val="0"/>
              <w:marBottom w:val="0"/>
              <w:divBdr>
                <w:top w:val="none" w:sz="0" w:space="0" w:color="auto"/>
                <w:left w:val="none" w:sz="0" w:space="0" w:color="auto"/>
                <w:bottom w:val="none" w:sz="0" w:space="0" w:color="auto"/>
                <w:right w:val="none" w:sz="0" w:space="0" w:color="auto"/>
              </w:divBdr>
              <w:divsChild>
                <w:div w:id="1874919532">
                  <w:marLeft w:val="0"/>
                  <w:marRight w:val="0"/>
                  <w:marTop w:val="0"/>
                  <w:marBottom w:val="0"/>
                  <w:divBdr>
                    <w:top w:val="none" w:sz="0" w:space="0" w:color="auto"/>
                    <w:left w:val="none" w:sz="0" w:space="0" w:color="auto"/>
                    <w:bottom w:val="none" w:sz="0" w:space="0" w:color="auto"/>
                    <w:right w:val="none" w:sz="0" w:space="0" w:color="auto"/>
                  </w:divBdr>
                </w:div>
              </w:divsChild>
            </w:div>
            <w:div w:id="544492192">
              <w:marLeft w:val="0"/>
              <w:marRight w:val="0"/>
              <w:marTop w:val="0"/>
              <w:marBottom w:val="0"/>
              <w:divBdr>
                <w:top w:val="none" w:sz="0" w:space="0" w:color="auto"/>
                <w:left w:val="none" w:sz="0" w:space="0" w:color="auto"/>
                <w:bottom w:val="none" w:sz="0" w:space="0" w:color="auto"/>
                <w:right w:val="none" w:sz="0" w:space="0" w:color="auto"/>
              </w:divBdr>
            </w:div>
            <w:div w:id="1940984047">
              <w:marLeft w:val="0"/>
              <w:marRight w:val="0"/>
              <w:marTop w:val="0"/>
              <w:marBottom w:val="0"/>
              <w:divBdr>
                <w:top w:val="none" w:sz="0" w:space="0" w:color="auto"/>
                <w:left w:val="none" w:sz="0" w:space="0" w:color="auto"/>
                <w:bottom w:val="none" w:sz="0" w:space="0" w:color="auto"/>
                <w:right w:val="none" w:sz="0" w:space="0" w:color="auto"/>
              </w:divBdr>
            </w:div>
          </w:divsChild>
        </w:div>
        <w:div w:id="717318069">
          <w:marLeft w:val="0"/>
          <w:marRight w:val="0"/>
          <w:marTop w:val="0"/>
          <w:marBottom w:val="0"/>
          <w:divBdr>
            <w:top w:val="none" w:sz="0" w:space="0" w:color="auto"/>
            <w:left w:val="none" w:sz="0" w:space="0" w:color="auto"/>
            <w:bottom w:val="none" w:sz="0" w:space="0" w:color="auto"/>
            <w:right w:val="none" w:sz="0" w:space="0" w:color="auto"/>
          </w:divBdr>
        </w:div>
      </w:divsChild>
    </w:div>
    <w:div w:id="1575243672">
      <w:bodyDiv w:val="1"/>
      <w:marLeft w:val="0"/>
      <w:marRight w:val="0"/>
      <w:marTop w:val="0"/>
      <w:marBottom w:val="0"/>
      <w:divBdr>
        <w:top w:val="none" w:sz="0" w:space="0" w:color="auto"/>
        <w:left w:val="none" w:sz="0" w:space="0" w:color="auto"/>
        <w:bottom w:val="none" w:sz="0" w:space="0" w:color="auto"/>
        <w:right w:val="none" w:sz="0" w:space="0" w:color="auto"/>
      </w:divBdr>
      <w:divsChild>
        <w:div w:id="1841697020">
          <w:marLeft w:val="0"/>
          <w:marRight w:val="0"/>
          <w:marTop w:val="240"/>
          <w:marBottom w:val="240"/>
          <w:divBdr>
            <w:top w:val="none" w:sz="0" w:space="0" w:color="auto"/>
            <w:left w:val="none" w:sz="0" w:space="0" w:color="auto"/>
            <w:bottom w:val="none" w:sz="0" w:space="0" w:color="auto"/>
            <w:right w:val="none" w:sz="0" w:space="0" w:color="auto"/>
          </w:divBdr>
        </w:div>
        <w:div w:id="293684635">
          <w:marLeft w:val="0"/>
          <w:marRight w:val="0"/>
          <w:marTop w:val="240"/>
          <w:marBottom w:val="240"/>
          <w:divBdr>
            <w:top w:val="none" w:sz="0" w:space="0" w:color="auto"/>
            <w:left w:val="none" w:sz="0" w:space="0" w:color="auto"/>
            <w:bottom w:val="none" w:sz="0" w:space="0" w:color="auto"/>
            <w:right w:val="none" w:sz="0" w:space="0" w:color="auto"/>
          </w:divBdr>
        </w:div>
        <w:div w:id="1875073921">
          <w:marLeft w:val="0"/>
          <w:marRight w:val="0"/>
          <w:marTop w:val="240"/>
          <w:marBottom w:val="240"/>
          <w:divBdr>
            <w:top w:val="none" w:sz="0" w:space="0" w:color="auto"/>
            <w:left w:val="none" w:sz="0" w:space="0" w:color="auto"/>
            <w:bottom w:val="none" w:sz="0" w:space="0" w:color="auto"/>
            <w:right w:val="none" w:sz="0" w:space="0" w:color="auto"/>
          </w:divBdr>
        </w:div>
        <w:div w:id="1984459022">
          <w:marLeft w:val="0"/>
          <w:marRight w:val="0"/>
          <w:marTop w:val="240"/>
          <w:marBottom w:val="240"/>
          <w:divBdr>
            <w:top w:val="none" w:sz="0" w:space="0" w:color="auto"/>
            <w:left w:val="none" w:sz="0" w:space="0" w:color="auto"/>
            <w:bottom w:val="none" w:sz="0" w:space="0" w:color="auto"/>
            <w:right w:val="none" w:sz="0" w:space="0" w:color="auto"/>
          </w:divBdr>
        </w:div>
      </w:divsChild>
    </w:div>
    <w:div w:id="1764380548">
      <w:bodyDiv w:val="1"/>
      <w:marLeft w:val="0"/>
      <w:marRight w:val="0"/>
      <w:marTop w:val="0"/>
      <w:marBottom w:val="0"/>
      <w:divBdr>
        <w:top w:val="none" w:sz="0" w:space="0" w:color="auto"/>
        <w:left w:val="none" w:sz="0" w:space="0" w:color="auto"/>
        <w:bottom w:val="none" w:sz="0" w:space="0" w:color="auto"/>
        <w:right w:val="none" w:sz="0" w:space="0" w:color="auto"/>
      </w:divBdr>
      <w:divsChild>
        <w:div w:id="450170393">
          <w:marLeft w:val="0"/>
          <w:marRight w:val="0"/>
          <w:marTop w:val="0"/>
          <w:marBottom w:val="0"/>
          <w:divBdr>
            <w:top w:val="none" w:sz="0" w:space="0" w:color="auto"/>
            <w:left w:val="none" w:sz="0" w:space="0" w:color="auto"/>
            <w:bottom w:val="none" w:sz="0" w:space="0" w:color="auto"/>
            <w:right w:val="none" w:sz="0" w:space="0" w:color="auto"/>
          </w:divBdr>
          <w:divsChild>
            <w:div w:id="1955019409">
              <w:marLeft w:val="0"/>
              <w:marRight w:val="0"/>
              <w:marTop w:val="0"/>
              <w:marBottom w:val="0"/>
              <w:divBdr>
                <w:top w:val="none" w:sz="0" w:space="0" w:color="auto"/>
                <w:left w:val="none" w:sz="0" w:space="0" w:color="auto"/>
                <w:bottom w:val="none" w:sz="0" w:space="0" w:color="auto"/>
                <w:right w:val="none" w:sz="0" w:space="0" w:color="auto"/>
              </w:divBdr>
              <w:divsChild>
                <w:div w:id="1085029597">
                  <w:marLeft w:val="0"/>
                  <w:marRight w:val="0"/>
                  <w:marTop w:val="0"/>
                  <w:marBottom w:val="0"/>
                  <w:divBdr>
                    <w:top w:val="none" w:sz="0" w:space="0" w:color="auto"/>
                    <w:left w:val="none" w:sz="0" w:space="0" w:color="auto"/>
                    <w:bottom w:val="none" w:sz="0" w:space="0" w:color="auto"/>
                    <w:right w:val="none" w:sz="0" w:space="0" w:color="auto"/>
                  </w:divBdr>
                </w:div>
              </w:divsChild>
            </w:div>
            <w:div w:id="1849631782">
              <w:marLeft w:val="0"/>
              <w:marRight w:val="0"/>
              <w:marTop w:val="0"/>
              <w:marBottom w:val="0"/>
              <w:divBdr>
                <w:top w:val="none" w:sz="0" w:space="0" w:color="auto"/>
                <w:left w:val="none" w:sz="0" w:space="0" w:color="auto"/>
                <w:bottom w:val="none" w:sz="0" w:space="0" w:color="auto"/>
                <w:right w:val="none" w:sz="0" w:space="0" w:color="auto"/>
              </w:divBdr>
            </w:div>
            <w:div w:id="1391685580">
              <w:marLeft w:val="0"/>
              <w:marRight w:val="0"/>
              <w:marTop w:val="0"/>
              <w:marBottom w:val="0"/>
              <w:divBdr>
                <w:top w:val="none" w:sz="0" w:space="0" w:color="auto"/>
                <w:left w:val="none" w:sz="0" w:space="0" w:color="auto"/>
                <w:bottom w:val="none" w:sz="0" w:space="0" w:color="auto"/>
                <w:right w:val="none" w:sz="0" w:space="0" w:color="auto"/>
              </w:divBdr>
            </w:div>
          </w:divsChild>
        </w:div>
        <w:div w:id="142580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1351</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Todorovic</dc:creator>
  <cp:keywords/>
  <dc:description/>
  <cp:lastModifiedBy>Alexandre Todorovic</cp:lastModifiedBy>
  <cp:revision>3</cp:revision>
  <dcterms:created xsi:type="dcterms:W3CDTF">2025-04-02T09:17:00Z</dcterms:created>
  <dcterms:modified xsi:type="dcterms:W3CDTF">2025-05-27T15:52:00Z</dcterms:modified>
</cp:coreProperties>
</file>